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设计特点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空心锥形喷雾，形成环形的打击区域。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hint="default"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液滴大小为小到中等。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hint="default"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错位式，便于在狭窄空间的安装。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hint="default"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适用范围广分布均匀，压力和流量。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hint="default"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同一接口尺寸的盖帽可以相互替换，增加了多样性。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一般应用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Univers LT Std 57 Cn" w:hAnsi="Univers LT Std 57 Cn" w:eastAsia="Univers LT Std 57 Cn" w:cs="Univers LT Std 57 Cn"/>
          <w:color w:val="231F20"/>
          <w:kern w:val="0"/>
          <w:sz w:val="18"/>
          <w:szCs w:val="18"/>
          <w:lang w:val="en-US" w:eastAsia="zh-CN" w:bidi="ar"/>
        </w:rPr>
        <w:t>•</w:t>
      </w:r>
      <w:r>
        <w:rPr>
          <w:rFonts w:ascii="DFPHei Std W5" w:hAnsi="DFPHei Std W5" w:eastAsia="DFPHei Std W5" w:cs="DFPHei Std W5"/>
          <w:color w:val="231F20"/>
          <w:kern w:val="0"/>
          <w:sz w:val="18"/>
          <w:szCs w:val="18"/>
          <w:lang w:val="en-US" w:eastAsia="zh-CN" w:bidi="ar"/>
        </w:rPr>
        <w:t xml:space="preserve"> 硫磺燃烧 </w:t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104775</wp:posOffset>
            </wp:positionV>
            <wp:extent cx="1649730" cy="1819275"/>
            <wp:effectExtent l="0" t="0" r="762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130425" cy="19050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性能数据</w:t>
      </w:r>
    </w:p>
    <w:p>
      <w:r>
        <w:drawing>
          <wp:inline distT="0" distB="0" distL="114300" distR="114300">
            <wp:extent cx="6065520" cy="2666365"/>
            <wp:effectExtent l="0" t="0" r="1143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105525" cy="2023745"/>
            <wp:effectExtent l="0" t="0" r="952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28515" cy="2921635"/>
            <wp:effectExtent l="0" t="0" r="63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Univers LT Std 57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Hei Std W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DY1YmVlMDQ5ZGYzZmM1OWM1MTJmODIzYTQ0NjEifQ=="/>
  </w:docVars>
  <w:rsids>
    <w:rsidRoot w:val="00000000"/>
    <w:rsid w:val="0F9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2023-05-29T09:10:29Z</dcterms:created>
  <dc:creator>Administrator</dc:creator>
  <cp:lastModifiedBy>胡春雄</cp:lastModifiedBy>
  <dcterms:modified xsi:type="dcterms:W3CDTF">2023-05-29T09:14:01Z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4BFCF5FA8A8C440097BB9604A1D224F2_12</vt:lpwstr>
  </property>
</Properties>
</file>